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111                                  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>R4-2409088</w:t>
      </w:r>
    </w:p>
    <w:bookmarkEnd w:id="2"/>
    <w:p>
      <w:pPr>
        <w:widowControl w:val="0"/>
        <w:tabs>
          <w:tab w:val="right" w:pos="10440"/>
          <w:tab w:val="right" w:pos="13323"/>
        </w:tabs>
        <w:spacing w:beforeLines="0" w:afterLines="0" w:line="240" w:lineRule="auto"/>
        <w:jc w:val="both"/>
        <w:outlineLvl w:val="0"/>
        <w:rPr>
          <w:rFonts w:ascii="Arial" w:hAnsi="Arial" w:eastAsia="宋体" w:cs="Times New Roman"/>
          <w:b/>
          <w:kern w:val="2"/>
          <w:sz w:val="24"/>
          <w:highlight w:val="none"/>
          <w:lang w:val="pt-BR" w:eastAsia="zh-CN" w:bidi="ar-SA"/>
        </w:rPr>
      </w:pP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>Fukuoka, Japan, 20 May – 24 May, 2024 </w:t>
      </w:r>
    </w:p>
    <w:p>
      <w:pPr>
        <w:pStyle w:val="15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 w:eastAsia="Calibri" w:cs="Arial"/>
          <w:b/>
          <w:bCs/>
          <w:sz w:val="24"/>
        </w:rPr>
        <w:t xml:space="preserve">Simulation results for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eDSS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60"/>
          <w:rFonts w:hint="eastAsia"/>
          <w:b/>
        </w:rPr>
        <w:t>ZTE Corporation,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7.25.1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szCs w:val="22"/>
          <w:lang w:val="en-US" w:eastAsia="zh-CN"/>
        </w:rPr>
      </w:pPr>
      <w:r>
        <w:rPr>
          <w:b/>
          <w:kern w:val="0"/>
          <w:sz w:val="24"/>
          <w:szCs w:val="24"/>
        </w:rPr>
        <w:t>1 Introduction</w:t>
      </w:r>
      <w:r>
        <w:rPr>
          <w:rFonts w:hint="default"/>
          <w:szCs w:val="22"/>
          <w:lang w:val="en-US" w:eastAsia="zh-CN"/>
        </w:rPr>
        <w:t xml:space="preserve"> </w:t>
      </w:r>
    </w:p>
    <w:p>
      <w:pPr>
        <w:spacing w:before="120" w:after="120"/>
        <w:rPr>
          <w:rFonts w:hint="default"/>
          <w:szCs w:val="22"/>
          <w:lang w:val="en-US" w:eastAsia="zh-CN"/>
        </w:rPr>
      </w:pPr>
      <w:r>
        <w:rPr>
          <w:rFonts w:hint="default"/>
          <w:szCs w:val="22"/>
          <w:lang w:val="en-US" w:eastAsia="en-US"/>
        </w:rPr>
        <w:t xml:space="preserve">This contribution contains initial simulation results for the </w:t>
      </w:r>
      <w:r>
        <w:rPr>
          <w:rFonts w:hint="eastAsia"/>
          <w:szCs w:val="22"/>
          <w:lang w:val="en-US" w:eastAsia="zh-CN"/>
        </w:rPr>
        <w:t>eDSS requirements</w:t>
      </w:r>
      <w:r>
        <w:rPr>
          <w:rFonts w:hint="default"/>
          <w:szCs w:val="22"/>
          <w:lang w:val="en-US" w:eastAsia="en-US"/>
        </w:rPr>
        <w:fldChar w:fldCharType="begin"/>
      </w:r>
      <w:r>
        <w:rPr>
          <w:rFonts w:hint="default"/>
          <w:szCs w:val="22"/>
          <w:lang w:val="en-US" w:eastAsia="en-US"/>
        </w:rPr>
        <w:instrText xml:space="preserve"> REF _Ref145072416 \r \h </w:instrText>
      </w:r>
      <w:r>
        <w:rPr>
          <w:rFonts w:hint="default"/>
          <w:szCs w:val="22"/>
          <w:lang w:val="en-US" w:eastAsia="en-US"/>
        </w:rPr>
        <w:fldChar w:fldCharType="separate"/>
      </w:r>
      <w:r>
        <w:rPr>
          <w:rFonts w:hint="default"/>
          <w:szCs w:val="22"/>
          <w:lang w:val="en-US" w:eastAsia="en-US"/>
        </w:rPr>
        <w:t>[1]</w:t>
      </w:r>
      <w:r>
        <w:rPr>
          <w:rFonts w:hint="default"/>
          <w:szCs w:val="22"/>
          <w:lang w:val="en-US" w:eastAsia="en-US"/>
        </w:rPr>
        <w:fldChar w:fldCharType="end"/>
      </w:r>
      <w:r>
        <w:rPr>
          <w:rFonts w:hint="default"/>
          <w:szCs w:val="22"/>
          <w:lang w:val="en-US" w:eastAsia="en-US"/>
        </w:rPr>
        <w:t>. The results are provided to aid in determining where new requirements can/should be introduced.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bidi w:val="0"/>
        <w:outlineLvl w:val="1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2.1 PDCCH requirements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the previous meeting[2] conclusions, we summarized the following Table 2-1 for PDCCH simulation assumptions.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Table</w:t>
      </w:r>
      <w:r>
        <w:rPr>
          <w:rFonts w:hint="eastAsia" w:cs="Times New Roman"/>
          <w:kern w:val="2"/>
          <w:sz w:val="21"/>
          <w:lang w:val="en-US" w:eastAsia="zh-CN" w:bidi="ar-SA"/>
        </w:rPr>
        <w:t xml:space="preserve"> 2-1. 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Test parameters for PDCCH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7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Parameter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Cyclic prefix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DM-RS sequence generation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NID=0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Frequency domain resource allocation for CORESET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Start from RB = 0 with contiguous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CCE to REG mapping type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Not-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REG bundle size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Shift Index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Slots for PDCCH monitoring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Each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 xml:space="preserve">Number of PDCCH candidates for the tested 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fr-FR" w:eastAsia="en-GB"/>
              </w:rPr>
              <w:t>aggregation level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PDCCH Precoding configuration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Single Panel Type I, Random precoder selection updated per slot, with equal probability of each applicable i1, i2 combination with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REG 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bundling granularity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for number of Tx larger than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DCI Format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1_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Payload (without CRC)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en-GB"/>
              </w:rPr>
            </w:pPr>
            <w:r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/>
              </w:rPr>
              <w:t>LTE CRS</w:t>
            </w: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/>
              </w:rPr>
              <w:t xml:space="preserve"> port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/>
              </w:rPr>
              <w:t>Channel estimation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eastAsia="宋体"/>
                <w:szCs w:val="24"/>
                <w:lang w:val="en-US" w:eastAsia="zh-CN"/>
              </w:rPr>
              <w:t>PDCCH CE only on clean symbols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cs="Times New Roman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/>
              </w:rPr>
              <w:t>Antenna configuration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hint="eastAsia" w:eastAsia="宋体"/>
                <w:szCs w:val="24"/>
                <w:lang w:val="en-US" w:eastAsia="zh-CN"/>
              </w:rPr>
              <w:t xml:space="preserve">2x4, 4x2 for FDD and </w:t>
            </w:r>
            <w:r>
              <w:rPr>
                <w:rFonts w:hint="eastAsia"/>
                <w:szCs w:val="24"/>
                <w:lang w:val="en-US" w:eastAsia="zh-CN"/>
              </w:rPr>
              <w:t>4</w:t>
            </w:r>
            <w:r>
              <w:rPr>
                <w:rFonts w:hint="eastAsia" w:eastAsia="宋体"/>
                <w:szCs w:val="24"/>
                <w:lang w:val="en-US" w:eastAsia="zh-CN"/>
              </w:rPr>
              <w:t xml:space="preserve">x4, </w:t>
            </w:r>
            <w:r>
              <w:rPr>
                <w:rFonts w:hint="eastAsia"/>
                <w:szCs w:val="24"/>
                <w:lang w:val="en-US" w:eastAsia="zh-CN"/>
              </w:rPr>
              <w:t>2</w:t>
            </w:r>
            <w:r>
              <w:rPr>
                <w:rFonts w:hint="eastAsia" w:eastAsia="宋体"/>
                <w:szCs w:val="24"/>
                <w:lang w:val="en-US" w:eastAsia="zh-CN"/>
              </w:rPr>
              <w:t xml:space="preserve">x2 </w:t>
            </w:r>
            <w:r>
              <w:rPr>
                <w:rFonts w:hint="eastAsia"/>
                <w:szCs w:val="24"/>
                <w:lang w:val="en-US" w:eastAsia="zh-CN"/>
              </w:rPr>
              <w:t xml:space="preserve">for </w:t>
            </w:r>
            <w:r>
              <w:rPr>
                <w:rFonts w:hint="eastAsia" w:eastAsia="宋体"/>
                <w:szCs w:val="24"/>
                <w:lang w:val="en-US"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cs="Times New Roman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/>
              </w:rPr>
              <w:t>Channel model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TDLA30-10 and TDLC300-100</w:t>
            </w:r>
          </w:p>
        </w:tc>
      </w:tr>
    </w:tbl>
    <w:p>
      <w:pPr>
        <w:bidi w:val="0"/>
        <w:outlineLvl w:val="9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Further, according to the RAN4#110 meeting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WF[2], the PDCCH simulation results are shown in following Table 2-2 and Figure 1.</w:t>
      </w:r>
    </w:p>
    <w:p>
      <w:pPr>
        <w:pStyle w:val="47"/>
        <w:ind w:left="0" w:firstLine="0"/>
        <w:rPr>
          <w:b/>
          <w:bCs/>
          <w:lang w:eastAsia="zh-CN"/>
        </w:rPr>
      </w:pPr>
    </w:p>
    <w:p>
      <w:pPr>
        <w:pStyle w:val="47"/>
        <w:ind w:left="0" w:firstLine="0"/>
        <w:rPr>
          <w:b/>
          <w:bCs/>
          <w:lang w:eastAsia="zh-CN"/>
        </w:rPr>
      </w:pPr>
    </w:p>
    <w:p>
      <w:pPr>
        <w:pStyle w:val="47"/>
        <w:ind w:left="0" w:firstLine="0"/>
        <w:rPr>
          <w:b/>
          <w:bCs/>
          <w:lang w:eastAsia="zh-CN"/>
        </w:rPr>
      </w:pPr>
    </w:p>
    <w:p>
      <w:pPr>
        <w:pStyle w:val="9"/>
        <w:keepNext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 w:val="0"/>
          <w:bCs/>
          <w:highlight w:val="none"/>
          <w:lang w:val="en-US" w:eastAsia="zh-CN"/>
        </w:rPr>
        <w:t xml:space="preserve">Table 2-2. Simulation results for DSS </w:t>
      </w:r>
    </w:p>
    <w:tbl>
      <w:tblPr>
        <w:tblStyle w:val="23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914"/>
        <w:gridCol w:w="1138"/>
        <w:gridCol w:w="1134"/>
        <w:gridCol w:w="1372"/>
        <w:gridCol w:w="1130"/>
        <w:gridCol w:w="896"/>
        <w:gridCol w:w="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Duplex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13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3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10 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 Low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4x2 Low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4</w:t>
            </w:r>
            <w:r>
              <w:rPr>
                <w:rFonts w:ascii="Arial" w:hAnsi="Arial"/>
                <w:sz w:val="18"/>
              </w:rPr>
              <w:t>x4 Low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2</w:t>
            </w:r>
            <w:r>
              <w:rPr>
                <w:rFonts w:ascii="Arial" w:hAnsi="Arial"/>
                <w:sz w:val="18"/>
              </w:rPr>
              <w:t>x2 Low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-3.9</w:t>
            </w:r>
          </w:p>
        </w:tc>
      </w:tr>
    </w:tbl>
    <w:p>
      <w:pPr>
        <w:widowControl w:val="0"/>
        <w:spacing w:beforeLines="100" w:afterLines="0" w:line="240" w:lineRule="auto"/>
        <w:jc w:val="left"/>
      </w:pPr>
    </w:p>
    <w:p>
      <w:pPr>
        <w:widowControl w:val="0"/>
        <w:spacing w:beforeLines="100" w:afterLines="0" w:line="240" w:lineRule="auto"/>
        <w:jc w:val="left"/>
      </w:pPr>
    </w:p>
    <w:tbl>
      <w:tblPr>
        <w:tblStyle w:val="23"/>
        <w:tblW w:w="99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9"/>
        <w:gridCol w:w="5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9" w:hRule="atLeast"/>
        </w:trPr>
        <w:tc>
          <w:tcPr>
            <w:tcW w:w="4999" w:type="dxa"/>
            <w:noWrap w:val="0"/>
            <w:vAlign w:val="top"/>
          </w:tcPr>
          <w:p>
            <w:pPr>
              <w:spacing w:before="0" w:after="0"/>
              <w:jc w:val="both"/>
              <w:rPr>
                <w:sz w:val="18"/>
                <w:szCs w:val="18"/>
              </w:rPr>
            </w:pPr>
          </w:p>
          <w:p>
            <w:pPr>
              <w:spacing w:before="0" w:after="0"/>
              <w:jc w:val="both"/>
            </w:pPr>
            <w:r>
              <w:drawing>
                <wp:inline distT="0" distB="0" distL="114300" distR="114300">
                  <wp:extent cx="3210560" cy="2409190"/>
                  <wp:effectExtent l="0" t="0" r="0" b="0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0560" cy="2409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0" w:after="0"/>
              <w:ind w:firstLine="200" w:firstLineChars="100"/>
              <w:jc w:val="center"/>
            </w:pPr>
            <w:r>
              <w:rPr>
                <w:rFonts w:hint="eastAsia" w:cs="宋体"/>
                <w:kern w:val="0"/>
                <w:sz w:val="20"/>
                <w:lang w:val="en-US" w:eastAsia="zh-CN"/>
              </w:rPr>
              <w:t xml:space="preserve">Figure 1-1. FDD </w:t>
            </w:r>
          </w:p>
        </w:tc>
        <w:tc>
          <w:tcPr>
            <w:tcW w:w="5000" w:type="dxa"/>
            <w:noWrap w:val="0"/>
            <w:vAlign w:val="top"/>
          </w:tcPr>
          <w:p>
            <w:pPr>
              <w:spacing w:before="0" w:after="0"/>
              <w:jc w:val="both"/>
            </w:pPr>
          </w:p>
          <w:p>
            <w:pPr>
              <w:spacing w:before="0" w:after="0"/>
              <w:jc w:val="both"/>
              <w:rPr>
                <w:rFonts w:hint="eastAsia" w:cs="宋体"/>
                <w:kern w:val="0"/>
                <w:sz w:val="20"/>
                <w:lang w:val="en-US" w:eastAsia="zh-CN"/>
              </w:rPr>
            </w:pPr>
            <w:r>
              <w:drawing>
                <wp:inline distT="0" distB="0" distL="114300" distR="114300">
                  <wp:extent cx="3176905" cy="2383155"/>
                  <wp:effectExtent l="0" t="0" r="0" b="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6905" cy="2383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1"/>
                <w:numId w:val="0"/>
              </w:numPr>
              <w:ind w:leftChars="0" w:right="210" w:rightChars="100"/>
              <w:jc w:val="center"/>
              <w:outlineLvl w:val="9"/>
              <w:rPr>
                <w:rFonts w:hint="default"/>
                <w:lang w:val="en-US"/>
              </w:rPr>
            </w:pPr>
            <w:r>
              <w:rPr>
                <w:rFonts w:hint="eastAsia" w:cs="宋体"/>
                <w:kern w:val="0"/>
                <w:sz w:val="20"/>
                <w:lang w:val="en-US" w:eastAsia="zh-CN"/>
              </w:rPr>
              <w:t xml:space="preserve"> Figure 1-2. TDD</w:t>
            </w:r>
          </w:p>
        </w:tc>
      </w:tr>
    </w:tbl>
    <w:p>
      <w:pPr>
        <w:widowControl w:val="0"/>
        <w:spacing w:beforeLines="100" w:afterLines="0" w:line="24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Figure 1.  </w:t>
      </w:r>
      <w:r>
        <w:rPr>
          <w:u w:val="none"/>
          <w:lang w:val="en-GB"/>
        </w:rPr>
        <w:t>BLER-SNR curve</w:t>
      </w:r>
      <w:r>
        <w:rPr>
          <w:rFonts w:hint="eastAsia"/>
          <w:u w:val="none"/>
          <w:lang w:val="en-US" w:eastAsia="zh-CN"/>
        </w:rPr>
        <w:t>s for PDCCH</w:t>
      </w:r>
    </w:p>
    <w:p>
      <w:pPr>
        <w:widowControl w:val="0"/>
        <w:spacing w:beforeLines="100" w:afterLines="0" w:line="240" w:lineRule="auto"/>
        <w:jc w:val="left"/>
        <w:rPr>
          <w:rFonts w:hint="eastAsia" w:eastAsia="宋体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 w:eastAsia="宋体"/>
          <w:bCs/>
          <w:kern w:val="0"/>
          <w:szCs w:val="21"/>
          <w:lang w:val="en-US" w:eastAsia="zh-CN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>we give some</w:t>
      </w:r>
      <w:r>
        <w:rPr>
          <w:rFonts w:hint="eastAsia"/>
          <w:bCs/>
          <w:kern w:val="0"/>
          <w:szCs w:val="21"/>
          <w:lang w:val="en-US" w:eastAsia="zh-CN"/>
        </w:rPr>
        <w:t xml:space="preserve"> simulation results</w:t>
      </w:r>
      <w:r>
        <w:rPr>
          <w:rFonts w:hint="eastAsia"/>
          <w:bCs/>
          <w:kern w:val="0"/>
          <w:szCs w:val="21"/>
        </w:rPr>
        <w:t xml:space="preserve"> for</w:t>
      </w:r>
      <w:r>
        <w:rPr>
          <w:rFonts w:hint="eastAsia"/>
          <w:bCs/>
          <w:kern w:val="0"/>
          <w:szCs w:val="21"/>
          <w:lang w:val="en-US" w:eastAsia="zh-CN"/>
        </w:rPr>
        <w:t xml:space="preserve"> enhancement of NR DSS </w:t>
      </w:r>
      <w:r>
        <w:rPr>
          <w:rFonts w:hint="eastAsia"/>
          <w:bCs/>
          <w:kern w:val="0"/>
          <w:szCs w:val="21"/>
        </w:rPr>
        <w:t>demodulation requirements</w:t>
      </w:r>
      <w:r>
        <w:rPr>
          <w:rFonts w:hint="eastAsia"/>
          <w:bCs/>
          <w:kern w:val="0"/>
          <w:szCs w:val="21"/>
          <w:lang w:val="en-US" w:eastAsia="zh-CN"/>
        </w:rPr>
        <w:t>.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>RP-221622, Revised WID on Enhancement of NR Dynamic spectrum sharing (DSS), RAN#96e.</w:t>
      </w: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R4-2406019. Way forward on [110bis][333] NR_DSS_enh, Ericsson.</w:t>
      </w: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  <w:r>
        <w:rPr>
          <w:rFonts w:hint="eastAsia" w:eastAsiaTheme="minorHAnsi" w:cstheme="minorBidi"/>
          <w:kern w:val="0"/>
          <w:sz w:val="21"/>
          <w:szCs w:val="21"/>
        </w:rPr>
        <w:t>R4-2321139. WF for Enhancement of Dynamic Spectrum Sharing demodulation requirements, Ericsson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.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000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750D3"/>
    <w:rsid w:val="011A0B49"/>
    <w:rsid w:val="011E4C0F"/>
    <w:rsid w:val="01443BEC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151C1F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B757E8"/>
    <w:rsid w:val="03C05350"/>
    <w:rsid w:val="03C1287B"/>
    <w:rsid w:val="03C36B0E"/>
    <w:rsid w:val="03CF67FA"/>
    <w:rsid w:val="03D44879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5C6122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F2584F"/>
    <w:rsid w:val="0601277E"/>
    <w:rsid w:val="060C5AED"/>
    <w:rsid w:val="06103146"/>
    <w:rsid w:val="06172561"/>
    <w:rsid w:val="061E54DA"/>
    <w:rsid w:val="061E5E22"/>
    <w:rsid w:val="063D244B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B5ADF"/>
    <w:rsid w:val="071C13A8"/>
    <w:rsid w:val="07337E19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A864E9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0D41B9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8C2CE3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2A1BB9"/>
    <w:rsid w:val="0D4B44A1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D934C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228A3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2D7100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0936AE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B11B08"/>
    <w:rsid w:val="11C67B8F"/>
    <w:rsid w:val="11D94230"/>
    <w:rsid w:val="11E57D4F"/>
    <w:rsid w:val="11EF2214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725CE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373306"/>
    <w:rsid w:val="145D452A"/>
    <w:rsid w:val="145F07C7"/>
    <w:rsid w:val="146C5189"/>
    <w:rsid w:val="14794EEF"/>
    <w:rsid w:val="14816B50"/>
    <w:rsid w:val="148313F4"/>
    <w:rsid w:val="1484169C"/>
    <w:rsid w:val="1485584B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6435F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83148"/>
    <w:rsid w:val="19394FD2"/>
    <w:rsid w:val="19413FB3"/>
    <w:rsid w:val="195F3A6C"/>
    <w:rsid w:val="19663168"/>
    <w:rsid w:val="19786B0A"/>
    <w:rsid w:val="199A2059"/>
    <w:rsid w:val="19AD5184"/>
    <w:rsid w:val="19B46E10"/>
    <w:rsid w:val="19BB37E9"/>
    <w:rsid w:val="19C456C1"/>
    <w:rsid w:val="19C608D9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A7556B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33268E"/>
    <w:rsid w:val="1F4F2219"/>
    <w:rsid w:val="1F721405"/>
    <w:rsid w:val="1F89503A"/>
    <w:rsid w:val="1F9225E1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2191D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6A1DB2"/>
    <w:rsid w:val="25734B61"/>
    <w:rsid w:val="2575555D"/>
    <w:rsid w:val="257851FD"/>
    <w:rsid w:val="258F6BC4"/>
    <w:rsid w:val="25975923"/>
    <w:rsid w:val="25996C92"/>
    <w:rsid w:val="259A3D0A"/>
    <w:rsid w:val="259C29DF"/>
    <w:rsid w:val="25A95F3E"/>
    <w:rsid w:val="25BF6041"/>
    <w:rsid w:val="25C35718"/>
    <w:rsid w:val="25CF0252"/>
    <w:rsid w:val="25D0248E"/>
    <w:rsid w:val="25E145B1"/>
    <w:rsid w:val="25F81D70"/>
    <w:rsid w:val="25FB5636"/>
    <w:rsid w:val="25FE58A9"/>
    <w:rsid w:val="26070462"/>
    <w:rsid w:val="260D2C45"/>
    <w:rsid w:val="2621570D"/>
    <w:rsid w:val="26235823"/>
    <w:rsid w:val="26395C92"/>
    <w:rsid w:val="26484954"/>
    <w:rsid w:val="266237C3"/>
    <w:rsid w:val="267550B9"/>
    <w:rsid w:val="269D0D39"/>
    <w:rsid w:val="26A30ADD"/>
    <w:rsid w:val="26C472EC"/>
    <w:rsid w:val="26EC491A"/>
    <w:rsid w:val="26ED73E1"/>
    <w:rsid w:val="26EF38F6"/>
    <w:rsid w:val="26F32A72"/>
    <w:rsid w:val="26FD510C"/>
    <w:rsid w:val="27047832"/>
    <w:rsid w:val="270968D8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62839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9752B2"/>
    <w:rsid w:val="29A3014B"/>
    <w:rsid w:val="29A6660E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97EAA"/>
    <w:rsid w:val="2A4D593F"/>
    <w:rsid w:val="2A555424"/>
    <w:rsid w:val="2A6E31F8"/>
    <w:rsid w:val="2A8A2F9C"/>
    <w:rsid w:val="2AA8698E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42FC2"/>
    <w:rsid w:val="2B1D1F04"/>
    <w:rsid w:val="2B214776"/>
    <w:rsid w:val="2B2535DB"/>
    <w:rsid w:val="2B2843BE"/>
    <w:rsid w:val="2B313FC1"/>
    <w:rsid w:val="2B347C14"/>
    <w:rsid w:val="2B355773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A584B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3276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7E617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880B4E"/>
    <w:rsid w:val="2E93618F"/>
    <w:rsid w:val="2E9D768C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674F8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62663F"/>
    <w:rsid w:val="30916BB1"/>
    <w:rsid w:val="30962F3E"/>
    <w:rsid w:val="30AA2585"/>
    <w:rsid w:val="30AD7725"/>
    <w:rsid w:val="30B043F0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6141B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A0A45"/>
    <w:rsid w:val="32AE4A3C"/>
    <w:rsid w:val="32BA4880"/>
    <w:rsid w:val="32CB6A28"/>
    <w:rsid w:val="32DF351E"/>
    <w:rsid w:val="32E660DB"/>
    <w:rsid w:val="32EE5E41"/>
    <w:rsid w:val="32EF5677"/>
    <w:rsid w:val="32F40F87"/>
    <w:rsid w:val="32FD7C76"/>
    <w:rsid w:val="330C22FC"/>
    <w:rsid w:val="33247878"/>
    <w:rsid w:val="333D3A1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1103E2"/>
    <w:rsid w:val="342B76C7"/>
    <w:rsid w:val="342C472B"/>
    <w:rsid w:val="343A1527"/>
    <w:rsid w:val="34447898"/>
    <w:rsid w:val="344E62FA"/>
    <w:rsid w:val="3472234D"/>
    <w:rsid w:val="347D500F"/>
    <w:rsid w:val="34830157"/>
    <w:rsid w:val="34872D27"/>
    <w:rsid w:val="349164BD"/>
    <w:rsid w:val="34A626BE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1D4BB8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036B4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D35E78"/>
    <w:rsid w:val="38E40A5B"/>
    <w:rsid w:val="391476F2"/>
    <w:rsid w:val="39285D57"/>
    <w:rsid w:val="392E7F2A"/>
    <w:rsid w:val="39372A0B"/>
    <w:rsid w:val="394B6470"/>
    <w:rsid w:val="39526430"/>
    <w:rsid w:val="39790F9D"/>
    <w:rsid w:val="39860592"/>
    <w:rsid w:val="39872512"/>
    <w:rsid w:val="398B0DB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DE4C1D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B530E9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9C3962"/>
    <w:rsid w:val="3DB34E86"/>
    <w:rsid w:val="3DF95812"/>
    <w:rsid w:val="3DFB2413"/>
    <w:rsid w:val="3E0209BD"/>
    <w:rsid w:val="3E0911A0"/>
    <w:rsid w:val="3E1D023C"/>
    <w:rsid w:val="3E1D4B24"/>
    <w:rsid w:val="3E23398A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397718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02380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4B5824"/>
    <w:rsid w:val="426973AD"/>
    <w:rsid w:val="427A67A1"/>
    <w:rsid w:val="427B6B66"/>
    <w:rsid w:val="427E0B36"/>
    <w:rsid w:val="42874976"/>
    <w:rsid w:val="42A03D98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11643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6B564E"/>
    <w:rsid w:val="44756A66"/>
    <w:rsid w:val="447C30C1"/>
    <w:rsid w:val="447E4EBE"/>
    <w:rsid w:val="447F0CBA"/>
    <w:rsid w:val="44957F46"/>
    <w:rsid w:val="44994CF5"/>
    <w:rsid w:val="44DC46EB"/>
    <w:rsid w:val="44F03F8F"/>
    <w:rsid w:val="44F14ECF"/>
    <w:rsid w:val="44F86EB3"/>
    <w:rsid w:val="45275172"/>
    <w:rsid w:val="452754C3"/>
    <w:rsid w:val="45332511"/>
    <w:rsid w:val="45412C46"/>
    <w:rsid w:val="45451940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0D18AC"/>
    <w:rsid w:val="47116C0B"/>
    <w:rsid w:val="47155D89"/>
    <w:rsid w:val="47173D82"/>
    <w:rsid w:val="47253C54"/>
    <w:rsid w:val="473069AF"/>
    <w:rsid w:val="473E7FD8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9A2B88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2A1618"/>
    <w:rsid w:val="484417FA"/>
    <w:rsid w:val="48450ECE"/>
    <w:rsid w:val="484759CD"/>
    <w:rsid w:val="484A10F9"/>
    <w:rsid w:val="484B14EC"/>
    <w:rsid w:val="485F73AE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279AB"/>
    <w:rsid w:val="4958367A"/>
    <w:rsid w:val="496E52F3"/>
    <w:rsid w:val="497D5E45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007D0"/>
    <w:rsid w:val="4C3E7365"/>
    <w:rsid w:val="4C562920"/>
    <w:rsid w:val="4C5B7DD5"/>
    <w:rsid w:val="4C5D1F92"/>
    <w:rsid w:val="4C603F16"/>
    <w:rsid w:val="4C6262E0"/>
    <w:rsid w:val="4C6703A3"/>
    <w:rsid w:val="4C6D7518"/>
    <w:rsid w:val="4C743E16"/>
    <w:rsid w:val="4C78236D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5D16E8"/>
    <w:rsid w:val="4D7D3EFB"/>
    <w:rsid w:val="4D83687D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332212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CC7303"/>
    <w:rsid w:val="4FE30332"/>
    <w:rsid w:val="4FE70BB4"/>
    <w:rsid w:val="4FE73C01"/>
    <w:rsid w:val="4FE87C31"/>
    <w:rsid w:val="4FEA74B6"/>
    <w:rsid w:val="4FFE4ABD"/>
    <w:rsid w:val="500815B6"/>
    <w:rsid w:val="500B39BC"/>
    <w:rsid w:val="501B25B8"/>
    <w:rsid w:val="5022123F"/>
    <w:rsid w:val="50265171"/>
    <w:rsid w:val="502B7315"/>
    <w:rsid w:val="50322A8C"/>
    <w:rsid w:val="503F32CF"/>
    <w:rsid w:val="5041152A"/>
    <w:rsid w:val="50732DC6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3C557E"/>
    <w:rsid w:val="51471753"/>
    <w:rsid w:val="514E4912"/>
    <w:rsid w:val="514E7FEC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34B81"/>
    <w:rsid w:val="51C67EED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E7128"/>
    <w:rsid w:val="54192B07"/>
    <w:rsid w:val="54247F22"/>
    <w:rsid w:val="54273903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81DD3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8B2F8A"/>
    <w:rsid w:val="569D619C"/>
    <w:rsid w:val="56A55214"/>
    <w:rsid w:val="56A67978"/>
    <w:rsid w:val="56AC63C5"/>
    <w:rsid w:val="56B61F71"/>
    <w:rsid w:val="56C1700B"/>
    <w:rsid w:val="56D25618"/>
    <w:rsid w:val="56DB758F"/>
    <w:rsid w:val="56DC2761"/>
    <w:rsid w:val="56E84A97"/>
    <w:rsid w:val="57011F3E"/>
    <w:rsid w:val="5705646B"/>
    <w:rsid w:val="57060649"/>
    <w:rsid w:val="57154E66"/>
    <w:rsid w:val="57197E55"/>
    <w:rsid w:val="572F7DD4"/>
    <w:rsid w:val="5732705F"/>
    <w:rsid w:val="57351D6F"/>
    <w:rsid w:val="57556ACC"/>
    <w:rsid w:val="576476C1"/>
    <w:rsid w:val="577B3337"/>
    <w:rsid w:val="577F3438"/>
    <w:rsid w:val="5784516D"/>
    <w:rsid w:val="578B3930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CA1A73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A40C9"/>
    <w:rsid w:val="5AEC14F6"/>
    <w:rsid w:val="5AEC4B1F"/>
    <w:rsid w:val="5AF124A4"/>
    <w:rsid w:val="5B141085"/>
    <w:rsid w:val="5B28192B"/>
    <w:rsid w:val="5B2E7D32"/>
    <w:rsid w:val="5B4C3448"/>
    <w:rsid w:val="5B5F300B"/>
    <w:rsid w:val="5B66707B"/>
    <w:rsid w:val="5B673066"/>
    <w:rsid w:val="5B785E83"/>
    <w:rsid w:val="5B7C1CD1"/>
    <w:rsid w:val="5B82056F"/>
    <w:rsid w:val="5B8E0DA3"/>
    <w:rsid w:val="5B9251EF"/>
    <w:rsid w:val="5B9914D0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3532E"/>
    <w:rsid w:val="5C963D2E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476B6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46D3F"/>
    <w:rsid w:val="5D8A2CFF"/>
    <w:rsid w:val="5D960EE9"/>
    <w:rsid w:val="5D9A0CFA"/>
    <w:rsid w:val="5DA15CA9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2652F0"/>
    <w:rsid w:val="5F3374C6"/>
    <w:rsid w:val="5F4F1B95"/>
    <w:rsid w:val="5F683B6E"/>
    <w:rsid w:val="5F843409"/>
    <w:rsid w:val="5F875C0C"/>
    <w:rsid w:val="5F8F0B9E"/>
    <w:rsid w:val="5F8F267A"/>
    <w:rsid w:val="5FB94C48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953B5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705965"/>
    <w:rsid w:val="6182260C"/>
    <w:rsid w:val="61D43A2B"/>
    <w:rsid w:val="61E33E63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6E2C67"/>
    <w:rsid w:val="638C339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4C0187"/>
    <w:rsid w:val="64766F57"/>
    <w:rsid w:val="648939AA"/>
    <w:rsid w:val="649B1AC2"/>
    <w:rsid w:val="64A7467B"/>
    <w:rsid w:val="64C86505"/>
    <w:rsid w:val="64FE700F"/>
    <w:rsid w:val="65000502"/>
    <w:rsid w:val="6500327F"/>
    <w:rsid w:val="6503062C"/>
    <w:rsid w:val="6506609B"/>
    <w:rsid w:val="65083216"/>
    <w:rsid w:val="650E3D55"/>
    <w:rsid w:val="653A5EE7"/>
    <w:rsid w:val="65460728"/>
    <w:rsid w:val="65822810"/>
    <w:rsid w:val="65870C45"/>
    <w:rsid w:val="659B4BB9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9C2E7E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C91446"/>
    <w:rsid w:val="68C920AF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336E4"/>
    <w:rsid w:val="69850854"/>
    <w:rsid w:val="69850877"/>
    <w:rsid w:val="698C13C5"/>
    <w:rsid w:val="69AE1F57"/>
    <w:rsid w:val="69CA7D9D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969D4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BFC35E6"/>
    <w:rsid w:val="6C0E1232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83222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197535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EC7953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A171F9"/>
    <w:rsid w:val="71AA48B1"/>
    <w:rsid w:val="71C7540C"/>
    <w:rsid w:val="71F64A63"/>
    <w:rsid w:val="71F870B8"/>
    <w:rsid w:val="72021233"/>
    <w:rsid w:val="720B2A1D"/>
    <w:rsid w:val="72174817"/>
    <w:rsid w:val="721A3F70"/>
    <w:rsid w:val="721E336F"/>
    <w:rsid w:val="72254239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3774"/>
    <w:rsid w:val="734F4185"/>
    <w:rsid w:val="73520620"/>
    <w:rsid w:val="7363274A"/>
    <w:rsid w:val="73691A4A"/>
    <w:rsid w:val="737807F3"/>
    <w:rsid w:val="738A6895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6225A2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17A40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00076"/>
    <w:rsid w:val="76EC51FD"/>
    <w:rsid w:val="76F410B8"/>
    <w:rsid w:val="76FE47B2"/>
    <w:rsid w:val="771B67DF"/>
    <w:rsid w:val="774261D2"/>
    <w:rsid w:val="77451578"/>
    <w:rsid w:val="77552EF5"/>
    <w:rsid w:val="77692EA3"/>
    <w:rsid w:val="77806994"/>
    <w:rsid w:val="77825248"/>
    <w:rsid w:val="7785098B"/>
    <w:rsid w:val="77870D91"/>
    <w:rsid w:val="778A3229"/>
    <w:rsid w:val="77915136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0E4EEF"/>
    <w:rsid w:val="791843E7"/>
    <w:rsid w:val="792730E6"/>
    <w:rsid w:val="79395A92"/>
    <w:rsid w:val="794008FB"/>
    <w:rsid w:val="794708D9"/>
    <w:rsid w:val="794B21A1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51305C"/>
    <w:rsid w:val="7A6D61A5"/>
    <w:rsid w:val="7A6E4BF5"/>
    <w:rsid w:val="7A721EC3"/>
    <w:rsid w:val="7A851D5D"/>
    <w:rsid w:val="7A8A2267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24579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41BA4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D0FAF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B274B4"/>
    <w:rsid w:val="7FC73596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10"/>
    <w:basedOn w:val="25"/>
    <w:qFormat/>
    <w:uiPriority w:val="0"/>
    <w:rPr>
      <w:rFonts w:hint="default" w:ascii="Times New Roman" w:hAnsi="Times New Roman" w:cs="Times New Roman"/>
    </w:rPr>
  </w:style>
  <w:style w:type="character" w:customStyle="1" w:styleId="75">
    <w:name w:val="15"/>
    <w:basedOn w:val="25"/>
    <w:qFormat/>
    <w:uiPriority w:val="0"/>
    <w:rPr>
      <w:rFonts w:hint="default" w:ascii="Times New Roman" w:hAnsi="Times New Roman" w:cs="Times New Roman"/>
    </w:rPr>
  </w:style>
  <w:style w:type="paragraph" w:customStyle="1" w:styleId="76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7">
    <w:name w:val="TF"/>
    <w:basedOn w:val="56"/>
    <w:qFormat/>
    <w:uiPriority w:val="0"/>
    <w:pPr>
      <w:keepNext w:val="0"/>
      <w:spacing w:before="0" w:after="240"/>
    </w:pPr>
  </w:style>
  <w:style w:type="table" w:customStyle="1" w:styleId="78">
    <w:name w:val="Table Grid7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2.emf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6</Pages>
  <Words>1424</Words>
  <Characters>7899</Characters>
  <Lines>65</Lines>
  <Paragraphs>18</Paragraphs>
  <TotalTime>6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2024-05-13T11:54:23Z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A1CDB747EEAB49BF888A0BA9449178C1</vt:lpwstr>
  </property>
</Properties>
</file>